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0B41F">
      <w:pPr>
        <w:tabs>
          <w:tab w:val="left" w:pos="1680"/>
        </w:tabs>
        <w:adjustRightInd w:val="0"/>
        <w:snapToGrid w:val="0"/>
        <w:spacing w:line="560" w:lineRule="exact"/>
        <w:rPr>
          <w:rFonts w:ascii="Times New Roman" w:hAnsi="Times New Roman" w:eastAsia="黑体"/>
          <w:color w:val="000000"/>
          <w:sz w:val="32"/>
          <w:szCs w:val="32"/>
        </w:rPr>
      </w:pPr>
      <w:bookmarkStart w:id="0" w:name="_Hlk200985738"/>
      <w:r>
        <w:rPr>
          <w:rFonts w:ascii="Times New Roman" w:hAnsi="Times New Roman" w:eastAsia="黑体"/>
          <w:color w:val="000000"/>
          <w:sz w:val="32"/>
          <w:szCs w:val="32"/>
        </w:rPr>
        <w:t>附件2</w:t>
      </w:r>
    </w:p>
    <w:p w14:paraId="120ABB3E">
      <w:pPr>
        <w:tabs>
          <w:tab w:val="left" w:pos="1680"/>
        </w:tabs>
        <w:adjustRightInd w:val="0"/>
        <w:snapToGrid w:val="0"/>
        <w:spacing w:line="560" w:lineRule="exact"/>
        <w:jc w:val="center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方正小标宋简体"/>
          <w:color w:val="000000"/>
          <w:sz w:val="36"/>
          <w:szCs w:val="36"/>
        </w:rPr>
        <w:t>大赛就业赛道方案</w:t>
      </w:r>
    </w:p>
    <w:p w14:paraId="40BDF2EB">
      <w:pPr>
        <w:spacing w:line="560" w:lineRule="exact"/>
        <w:rPr>
          <w:rFonts w:ascii="Times New Roman" w:hAnsi="Times New Roman" w:eastAsia="黑体"/>
          <w:color w:val="000000"/>
          <w:sz w:val="32"/>
          <w:szCs w:val="32"/>
        </w:rPr>
      </w:pPr>
    </w:p>
    <w:p w14:paraId="521D0074">
      <w:pPr>
        <w:spacing w:line="56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一、比赛内容</w:t>
      </w:r>
    </w:p>
    <w:bookmarkEnd w:id="0"/>
    <w:p w14:paraId="3DA74F3D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考察学生求职实战能力，个人综合素质、专业能力与目标职业的契合度，个人发展路径与就业市场需求的适应度。参赛学生可获得岗位录用意向。</w:t>
      </w:r>
    </w:p>
    <w:p w14:paraId="56979C9E">
      <w:pPr>
        <w:spacing w:line="56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二、参赛对象</w:t>
      </w:r>
    </w:p>
    <w:p w14:paraId="116041DA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就业赛道主要面向二、三年级学生。</w:t>
      </w:r>
    </w:p>
    <w:p w14:paraId="34CB039D">
      <w:pPr>
        <w:spacing w:line="56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三、参赛材料要求</w:t>
      </w:r>
    </w:p>
    <w:p w14:paraId="6B567972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参赛选手提交以下参赛材料：</w:t>
      </w:r>
    </w:p>
    <w:p w14:paraId="6F7DFB54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求职简历（</w:t>
      </w:r>
      <w:r>
        <w:rPr>
          <w:rFonts w:ascii="Times New Roman" w:hAnsi="Times New Roman" w:eastAsia="仿宋_GB2312"/>
          <w:color w:val="000000"/>
          <w:sz w:val="32"/>
          <w:szCs w:val="32"/>
        </w:rPr>
        <w:t>PDF格式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）。</w:t>
      </w:r>
    </w:p>
    <w:p w14:paraId="4F1FBB87">
      <w:pPr>
        <w:spacing w:line="560" w:lineRule="exact"/>
        <w:ind w:firstLine="640" w:firstLineChars="200"/>
        <w:rPr>
          <w:rFonts w:cs="仿宋_GB231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2</w:t>
      </w:r>
      <w:r>
        <w:rPr>
          <w:rFonts w:ascii="Times New Roman" w:hAnsi="Times New Roman" w:eastAsia="仿宋_GB2312"/>
          <w:color w:val="000000"/>
          <w:sz w:val="32"/>
          <w:szCs w:val="32"/>
        </w:rPr>
        <w:t>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求职综合展示（PPT格式，不超过50MB；可加入视频）。</w:t>
      </w:r>
    </w:p>
    <w:p w14:paraId="0F6A072F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3</w:t>
      </w:r>
      <w:r>
        <w:rPr>
          <w:rFonts w:ascii="Times New Roman" w:hAnsi="Times New Roman" w:eastAsia="仿宋_GB2312"/>
          <w:color w:val="000000"/>
          <w:sz w:val="32"/>
          <w:szCs w:val="32"/>
        </w:rPr>
        <w:t>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辅助证明材料，包括实践、实习、获奖等证明材料（采用</w:t>
      </w:r>
      <w:r>
        <w:rPr>
          <w:rFonts w:ascii="Times New Roman" w:hAnsi="Times New Roman" w:eastAsia="仿宋_GB2312"/>
          <w:color w:val="000000"/>
          <w:sz w:val="32"/>
          <w:szCs w:val="32"/>
        </w:rPr>
        <w:t>PDF格式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，</w:t>
      </w:r>
      <w:r>
        <w:rPr>
          <w:rFonts w:ascii="Times New Roman" w:hAnsi="Times New Roman" w:eastAsia="仿宋_GB2312"/>
          <w:color w:val="000000"/>
          <w:sz w:val="32"/>
          <w:szCs w:val="32"/>
        </w:rPr>
        <w:t>整合为单个文件，不超过50MB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）。</w:t>
      </w:r>
    </w:p>
    <w:p w14:paraId="71A24115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4.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复赛</w:t>
      </w:r>
      <w:r>
        <w:rPr>
          <w:rFonts w:ascii="Times New Roman" w:hAnsi="Times New Roman" w:eastAsia="仿宋_GB2312"/>
          <w:color w:val="000000"/>
          <w:sz w:val="32"/>
          <w:szCs w:val="32"/>
        </w:rPr>
        <w:t>参赛材料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提交截止时间：2</w:t>
      </w:r>
      <w:r>
        <w:rPr>
          <w:rFonts w:ascii="Times New Roman" w:hAnsi="Times New Roman" w:eastAsia="仿宋_GB2312"/>
          <w:color w:val="000000"/>
          <w:sz w:val="32"/>
          <w:szCs w:val="32"/>
        </w:rPr>
        <w:t>02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年</w:t>
      </w:r>
      <w:r>
        <w:rPr>
          <w:rFonts w:ascii="Times New Roman" w:hAnsi="Times New Roman" w:eastAsia="仿宋_GB2312"/>
          <w:color w:val="000000"/>
          <w:sz w:val="32"/>
          <w:szCs w:val="32"/>
        </w:rPr>
        <w:t>6月25日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。</w:t>
      </w:r>
    </w:p>
    <w:p w14:paraId="78A7A681">
      <w:pPr>
        <w:spacing w:line="56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四、比赛环节</w:t>
      </w:r>
    </w:p>
    <w:p w14:paraId="52ABA803">
      <w:pPr>
        <w:snapToGrid w:val="0"/>
        <w:spacing w:line="520" w:lineRule="exact"/>
        <w:ind w:firstLine="64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校级复赛：</w:t>
      </w:r>
      <w:r>
        <w:rPr>
          <w:rFonts w:ascii="Times New Roman" w:hAnsi="Times New Roman" w:eastAsia="仿宋_GB2312"/>
          <w:color w:val="000000"/>
          <w:sz w:val="32"/>
          <w:szCs w:val="32"/>
        </w:rPr>
        <w:t>参照全国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总</w:t>
      </w:r>
      <w:r>
        <w:rPr>
          <w:rFonts w:ascii="Times New Roman" w:hAnsi="Times New Roman" w:eastAsia="仿宋_GB2312"/>
          <w:color w:val="000000"/>
          <w:sz w:val="32"/>
          <w:szCs w:val="32"/>
        </w:rPr>
        <w:t>决赛评审规则，采用网络评审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或现场比赛</w:t>
      </w:r>
      <w:r>
        <w:rPr>
          <w:rFonts w:ascii="Times New Roman" w:hAnsi="Times New Roman" w:eastAsia="仿宋_GB2312"/>
          <w:color w:val="000000"/>
          <w:sz w:val="32"/>
          <w:szCs w:val="32"/>
        </w:rPr>
        <w:t>方式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，</w:t>
      </w:r>
      <w:r>
        <w:rPr>
          <w:rFonts w:ascii="Times New Roman" w:hAnsi="Times New Roman" w:eastAsia="仿宋_GB2312"/>
          <w:color w:val="000000"/>
          <w:sz w:val="32"/>
          <w:szCs w:val="32"/>
        </w:rPr>
        <w:t>确定入围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校级</w:t>
      </w:r>
      <w:r>
        <w:rPr>
          <w:rFonts w:ascii="Times New Roman" w:hAnsi="Times New Roman" w:eastAsia="仿宋_GB2312"/>
          <w:color w:val="000000"/>
          <w:sz w:val="32"/>
          <w:szCs w:val="32"/>
        </w:rPr>
        <w:t>决赛参赛选手。</w:t>
      </w:r>
      <w:bookmarkStart w:id="1" w:name="_GoBack"/>
      <w:bookmarkEnd w:id="1"/>
    </w:p>
    <w:p w14:paraId="1E594C64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校级决赛：具体事宜另行通知。</w:t>
      </w:r>
    </w:p>
    <w:p w14:paraId="62D44EE0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05E2CA36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68741D22">
      <w:pPr>
        <w:spacing w:line="56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五、评审标准</w:t>
      </w:r>
    </w:p>
    <w:tbl>
      <w:tblPr>
        <w:tblStyle w:val="5"/>
        <w:tblW w:w="501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6580"/>
        <w:gridCol w:w="942"/>
      </w:tblGrid>
      <w:tr w14:paraId="52FB3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57" w:type="pct"/>
            <w:vAlign w:val="center"/>
          </w:tcPr>
          <w:p w14:paraId="2EF8EBDB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指标</w:t>
            </w:r>
          </w:p>
        </w:tc>
        <w:tc>
          <w:tcPr>
            <w:tcW w:w="3624" w:type="pct"/>
            <w:vAlign w:val="center"/>
          </w:tcPr>
          <w:p w14:paraId="1E7D0501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说明</w:t>
            </w:r>
          </w:p>
        </w:tc>
        <w:tc>
          <w:tcPr>
            <w:tcW w:w="519" w:type="pct"/>
            <w:vAlign w:val="center"/>
          </w:tcPr>
          <w:p w14:paraId="3D35C60A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分值</w:t>
            </w:r>
          </w:p>
        </w:tc>
      </w:tr>
      <w:tr w14:paraId="4FA3E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7" w:type="pct"/>
            <w:vMerge w:val="restart"/>
            <w:vAlign w:val="center"/>
          </w:tcPr>
          <w:p w14:paraId="0B5990F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职业目标</w:t>
            </w:r>
          </w:p>
        </w:tc>
        <w:tc>
          <w:tcPr>
            <w:tcW w:w="3624" w:type="pct"/>
            <w:vAlign w:val="center"/>
          </w:tcPr>
          <w:p w14:paraId="061C4368">
            <w:pPr>
              <w:numPr>
                <w:ilvl w:val="255"/>
                <w:numId w:val="0"/>
              </w:num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能够结合就业市场需求和个人所学专业、能力及兴趣等特点，合理设定职业目标</w:t>
            </w:r>
          </w:p>
        </w:tc>
        <w:tc>
          <w:tcPr>
            <w:tcW w:w="519" w:type="pct"/>
            <w:vMerge w:val="restart"/>
            <w:vAlign w:val="center"/>
          </w:tcPr>
          <w:p w14:paraId="0552AC2D"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10</w:t>
            </w:r>
          </w:p>
        </w:tc>
      </w:tr>
      <w:tr w14:paraId="1EEA5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7" w:type="pct"/>
            <w:vMerge w:val="continue"/>
            <w:vAlign w:val="center"/>
          </w:tcPr>
          <w:p w14:paraId="5CFEDF4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624" w:type="pct"/>
            <w:vAlign w:val="center"/>
          </w:tcPr>
          <w:p w14:paraId="38C9BD21">
            <w:pPr>
              <w:numPr>
                <w:ilvl w:val="255"/>
                <w:numId w:val="0"/>
              </w:num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深入调研并准确把握目标职业的任职要求、工作内容、基本流程和发展路径等</w:t>
            </w:r>
          </w:p>
        </w:tc>
        <w:tc>
          <w:tcPr>
            <w:tcW w:w="519" w:type="pct"/>
            <w:vMerge w:val="continue"/>
            <w:vAlign w:val="center"/>
          </w:tcPr>
          <w:p w14:paraId="2E697641"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27B9F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7" w:type="pct"/>
            <w:vMerge w:val="restart"/>
            <w:vAlign w:val="center"/>
          </w:tcPr>
          <w:p w14:paraId="1F47A74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岗位</w:t>
            </w:r>
          </w:p>
          <w:p w14:paraId="1AE8179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胜任力</w:t>
            </w:r>
          </w:p>
        </w:tc>
        <w:tc>
          <w:tcPr>
            <w:tcW w:w="3624" w:type="pct"/>
            <w:vAlign w:val="center"/>
          </w:tcPr>
          <w:p w14:paraId="54DDF7C9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具备目标岗位所需综合素质，如思维认知、沟通协作能力和执行力等，具有敬业奉献的职业精神</w:t>
            </w:r>
          </w:p>
        </w:tc>
        <w:tc>
          <w:tcPr>
            <w:tcW w:w="519" w:type="pct"/>
            <w:vAlign w:val="center"/>
          </w:tcPr>
          <w:p w14:paraId="6277C47E"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40</w:t>
            </w:r>
          </w:p>
        </w:tc>
      </w:tr>
      <w:tr w14:paraId="52790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7" w:type="pct"/>
            <w:vMerge w:val="continue"/>
            <w:vAlign w:val="center"/>
          </w:tcPr>
          <w:p w14:paraId="23CE045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624" w:type="pct"/>
            <w:vAlign w:val="center"/>
          </w:tcPr>
          <w:p w14:paraId="31892BEA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具备目标岗位所需专业知识和技能要求，有相关实习实践经历，具备解决实际问题的专业能力</w:t>
            </w:r>
          </w:p>
        </w:tc>
        <w:tc>
          <w:tcPr>
            <w:tcW w:w="519" w:type="pct"/>
            <w:vAlign w:val="center"/>
          </w:tcPr>
          <w:p w14:paraId="76666D39"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40</w:t>
            </w:r>
          </w:p>
        </w:tc>
      </w:tr>
      <w:tr w14:paraId="096B1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exact"/>
          <w:jc w:val="center"/>
        </w:trPr>
        <w:tc>
          <w:tcPr>
            <w:tcW w:w="857" w:type="pct"/>
            <w:vAlign w:val="center"/>
          </w:tcPr>
          <w:p w14:paraId="08F0FB0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发展潜力</w:t>
            </w:r>
          </w:p>
        </w:tc>
        <w:tc>
          <w:tcPr>
            <w:tcW w:w="3624" w:type="pct"/>
            <w:vAlign w:val="center"/>
          </w:tcPr>
          <w:p w14:paraId="1FDAC762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具备持续学习能力、创新精神和应对不确定性挑战的潜质，适应未来职业发展要求和就业市场需要</w:t>
            </w:r>
          </w:p>
        </w:tc>
        <w:tc>
          <w:tcPr>
            <w:tcW w:w="519" w:type="pct"/>
            <w:vAlign w:val="center"/>
          </w:tcPr>
          <w:p w14:paraId="271FC8E7"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10</w:t>
            </w:r>
          </w:p>
        </w:tc>
      </w:tr>
      <w:tr w14:paraId="7E261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857" w:type="pct"/>
            <w:shd w:val="clear" w:color="auto" w:fill="auto"/>
            <w:vAlign w:val="center"/>
          </w:tcPr>
          <w:p w14:paraId="6C9D136F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总分</w:t>
            </w:r>
          </w:p>
        </w:tc>
        <w:tc>
          <w:tcPr>
            <w:tcW w:w="3624" w:type="pct"/>
            <w:shd w:val="clear" w:color="auto" w:fill="auto"/>
            <w:vAlign w:val="center"/>
          </w:tcPr>
          <w:p w14:paraId="60FF6A94">
            <w:pPr>
              <w:rPr>
                <w:sz w:val="26"/>
                <w:szCs w:val="26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14:paraId="41A8A747">
            <w:pPr>
              <w:ind w:left="-105" w:leftChars="-50" w:right="-105" w:rightChars="-5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</w:tr>
    </w:tbl>
    <w:p w14:paraId="15FD85B3"/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3F51287-8F8C-4BCA-8117-3D7B5D7A672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CA6EAFF3-E527-4F00-92E7-6D5A698E0FB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9FB4487-EFB3-4A87-9A46-D1C6B76AD34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82DE42B9-A98A-4931-8F90-5DE6B5D8FAF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27185C19-69E4-4090-A771-07F23BA12E7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310"/>
    <w:rsid w:val="0016267E"/>
    <w:rsid w:val="003A0AD3"/>
    <w:rsid w:val="005E5A37"/>
    <w:rsid w:val="00727C46"/>
    <w:rsid w:val="007E27CA"/>
    <w:rsid w:val="00997EFB"/>
    <w:rsid w:val="00C442CE"/>
    <w:rsid w:val="00C75061"/>
    <w:rsid w:val="00C75600"/>
    <w:rsid w:val="00E056DE"/>
    <w:rsid w:val="00FC5DBE"/>
    <w:rsid w:val="00FE0310"/>
    <w:rsid w:val="6CDB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517</Words>
  <Characters>545</Characters>
  <Lines>27</Lines>
  <Paragraphs>34</Paragraphs>
  <TotalTime>3</TotalTime>
  <ScaleCrop>false</ScaleCrop>
  <LinksUpToDate>false</LinksUpToDate>
  <CharactersWithSpaces>545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2025-06-17T00:30:00Z</dcterms:created>
  <dc:creator>刘凯</dc:creator>
  <cp:lastModifiedBy>徐静</cp:lastModifiedBy>
  <dcterms:modified xsi:type="dcterms:W3CDTF">2026-06-11T01:41:31Z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eyJoZGlkIjoiNjRjMTk4YmViZGUyZThjYzgwMjcyMjNkNzU3Zjk1NjkiLCJ1c2VySWQiOiIxNjY3ODUyODk3In0=</vt:lpwstr>
  </property>
  <property fmtid="{D5CDD505-2E9C-101B-9397-08002B2CF9AE}" pid="3" name="KSOProductBuildVer">
    <vt:lpwstr>2052-12.1.0.26895</vt:lpwstr>
  </property>
  <property fmtid="{D5CDD505-2E9C-101B-9397-08002B2CF9AE}" pid="4" name="ICV">
    <vt:lpwstr>745FA50FB9E649F7A5C1984CFD3527FA_12</vt:lpwstr>
  </property>
</Properties>
</file>