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449A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 w14:paraId="5EFCA24F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大赛成长赛道方案</w:t>
      </w:r>
    </w:p>
    <w:p w14:paraId="1CEB8CCA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1384DDEE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6B429DF1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75B22660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二、参赛对象</w:t>
      </w:r>
    </w:p>
    <w:p w14:paraId="4E772C95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成长赛道主要面向一、二年级学生。</w:t>
      </w:r>
    </w:p>
    <w:p w14:paraId="4CF625C5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1A13E803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参赛选手提交以下参赛材料：</w:t>
      </w:r>
    </w:p>
    <w:p w14:paraId="08B86EB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267C421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08003D8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提交截止时间：2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6月25日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0C444CD7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334498D1">
      <w:pPr>
        <w:snapToGrid w:val="0"/>
        <w:spacing w:line="52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校级复赛：</w:t>
      </w:r>
      <w:r>
        <w:rPr>
          <w:rFonts w:ascii="Times New Roman" w:hAnsi="Times New Roman" w:eastAsia="仿宋_GB2312"/>
          <w:color w:val="000000"/>
          <w:sz w:val="32"/>
          <w:szCs w:val="32"/>
        </w:rPr>
        <w:t>参照全国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总</w:t>
      </w:r>
      <w:r>
        <w:rPr>
          <w:rFonts w:ascii="Times New Roman" w:hAnsi="Times New Roman" w:eastAsia="仿宋_GB2312"/>
          <w:color w:val="000000"/>
          <w:sz w:val="32"/>
          <w:szCs w:val="32"/>
        </w:rPr>
        <w:t>决赛评审规则，采用网络评审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或现场比赛</w:t>
      </w:r>
      <w:r>
        <w:rPr>
          <w:rFonts w:ascii="Times New Roman" w:hAnsi="Times New Roman" w:eastAsia="仿宋_GB2312"/>
          <w:color w:val="000000"/>
          <w:sz w:val="32"/>
          <w:szCs w:val="32"/>
        </w:rPr>
        <w:t>方式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确定入围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校级</w:t>
      </w:r>
      <w:r>
        <w:rPr>
          <w:rFonts w:ascii="Times New Roman" w:hAnsi="Times New Roman" w:eastAsia="仿宋_GB2312"/>
          <w:color w:val="000000"/>
          <w:sz w:val="32"/>
          <w:szCs w:val="32"/>
        </w:rPr>
        <w:t>决赛参赛选手。</w:t>
      </w:r>
    </w:p>
    <w:p w14:paraId="69A7530E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校级决赛：具体事宜另行通知。</w:t>
      </w:r>
    </w:p>
    <w:p w14:paraId="532A24B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2CF5826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5"/>
        <w:tblpPr w:leftFromText="180" w:rightFromText="180" w:vertAnchor="text" w:horzAnchor="page" w:tblpX="1875" w:tblpY="68"/>
        <w:tblOverlap w:val="never"/>
        <w:tblW w:w="48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6176"/>
        <w:gridCol w:w="1135"/>
      </w:tblGrid>
      <w:tr w14:paraId="601E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25" w:type="pct"/>
            <w:vAlign w:val="center"/>
          </w:tcPr>
          <w:p w14:paraId="7AFF630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527" w:type="pct"/>
            <w:vAlign w:val="center"/>
          </w:tcPr>
          <w:p w14:paraId="3287D69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648" w:type="pct"/>
            <w:vAlign w:val="center"/>
          </w:tcPr>
          <w:p w14:paraId="20405C3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AC7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</w:trPr>
        <w:tc>
          <w:tcPr>
            <w:tcW w:w="825" w:type="pct"/>
            <w:vMerge w:val="restart"/>
            <w:vAlign w:val="center"/>
          </w:tcPr>
          <w:p w14:paraId="074A8AC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527" w:type="pct"/>
            <w:vAlign w:val="center"/>
          </w:tcPr>
          <w:p w14:paraId="51BBE730">
            <w:pPr>
              <w:numPr>
                <w:ilvl w:val="255"/>
                <w:numId w:val="0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648" w:type="pct"/>
            <w:vMerge w:val="restart"/>
            <w:vAlign w:val="center"/>
          </w:tcPr>
          <w:p w14:paraId="30A0FA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14:paraId="0B42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825" w:type="pct"/>
            <w:vMerge w:val="continue"/>
            <w:vAlign w:val="center"/>
          </w:tcPr>
          <w:p w14:paraId="310EFA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27" w:type="pct"/>
            <w:vAlign w:val="center"/>
          </w:tcPr>
          <w:p w14:paraId="26B9EF8F">
            <w:pPr>
              <w:numPr>
                <w:ilvl w:val="255"/>
                <w:numId w:val="0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648" w:type="pct"/>
            <w:vMerge w:val="continue"/>
            <w:vAlign w:val="center"/>
          </w:tcPr>
          <w:p w14:paraId="46281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79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825" w:type="pct"/>
            <w:vMerge w:val="continue"/>
            <w:vAlign w:val="center"/>
          </w:tcPr>
          <w:p w14:paraId="098E4EC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27" w:type="pct"/>
            <w:vAlign w:val="center"/>
          </w:tcPr>
          <w:p w14:paraId="33702B77">
            <w:pPr>
              <w:numPr>
                <w:ilvl w:val="255"/>
                <w:numId w:val="0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648" w:type="pct"/>
            <w:vMerge w:val="continue"/>
            <w:vAlign w:val="center"/>
          </w:tcPr>
          <w:p w14:paraId="71403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0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</w:trPr>
        <w:tc>
          <w:tcPr>
            <w:tcW w:w="825" w:type="pct"/>
            <w:vMerge w:val="restart"/>
            <w:vAlign w:val="center"/>
          </w:tcPr>
          <w:p w14:paraId="1205415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527" w:type="pct"/>
            <w:vAlign w:val="center"/>
          </w:tcPr>
          <w:p w14:paraId="6EA8724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648" w:type="pct"/>
            <w:vMerge w:val="restart"/>
            <w:vAlign w:val="center"/>
          </w:tcPr>
          <w:p w14:paraId="4F351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14:paraId="1E2D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25" w:type="pct"/>
            <w:vMerge w:val="continue"/>
            <w:vAlign w:val="center"/>
          </w:tcPr>
          <w:p w14:paraId="6A72775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27" w:type="pct"/>
            <w:vAlign w:val="center"/>
          </w:tcPr>
          <w:p w14:paraId="445A72EB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648" w:type="pct"/>
            <w:vMerge w:val="continue"/>
            <w:vAlign w:val="center"/>
          </w:tcPr>
          <w:p w14:paraId="5CF781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D0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25" w:type="pct"/>
            <w:vAlign w:val="center"/>
          </w:tcPr>
          <w:p w14:paraId="46397D3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527" w:type="pct"/>
            <w:vAlign w:val="center"/>
          </w:tcPr>
          <w:p w14:paraId="2684D47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648" w:type="pct"/>
            <w:vAlign w:val="center"/>
          </w:tcPr>
          <w:p w14:paraId="50D873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14:paraId="5E32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5" w:type="pct"/>
            <w:shd w:val="clear" w:color="auto" w:fill="auto"/>
            <w:vAlign w:val="center"/>
          </w:tcPr>
          <w:p w14:paraId="46E23D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527" w:type="pct"/>
            <w:shd w:val="clear" w:color="auto" w:fill="auto"/>
            <w:vAlign w:val="center"/>
          </w:tcPr>
          <w:p w14:paraId="70580373">
            <w:pPr>
              <w:rPr>
                <w:sz w:val="26"/>
                <w:szCs w:val="26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B89529A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14:paraId="64FDE387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17A45-58B8-407D-BA2B-AD5A51D832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4F6C0BA-BEBE-42AF-972A-BE49F95E87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F3F101-8E60-4F7E-BE56-5B79EC8FA4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922A504-B38D-4683-A575-9ECFA603DA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AF"/>
    <w:rsid w:val="000D7DAF"/>
    <w:rsid w:val="00104C07"/>
    <w:rsid w:val="0016267E"/>
    <w:rsid w:val="001A269D"/>
    <w:rsid w:val="005E4CEB"/>
    <w:rsid w:val="007B633A"/>
    <w:rsid w:val="00997EFB"/>
    <w:rsid w:val="00A13360"/>
    <w:rsid w:val="00B24C10"/>
    <w:rsid w:val="00B80E11"/>
    <w:rsid w:val="00C03732"/>
    <w:rsid w:val="00C87B50"/>
    <w:rsid w:val="00E056DE"/>
    <w:rsid w:val="00E30343"/>
    <w:rsid w:val="00FC5DBE"/>
    <w:rsid w:val="5F2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656</Characters>
  <Lines>32</Lines>
  <Paragraphs>33</Paragraphs>
  <TotalTime>11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2025-06-17T00:24:00Z</dcterms:created>
  <dc:creator>刘凯</dc:creator>
  <cp:lastModifiedBy>徐静</cp:lastModifiedBy>
  <dcterms:modified xsi:type="dcterms:W3CDTF">2026-06-11T01:41:19Z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eyJoZGlkIjoiNjRjMTk4YmViZGUyZThjYzgwMjcyMjNkNzU3Zjk1NjkiLCJ1c2VySWQiOiIxNjY3ODUyODk3In0=</vt:lpwstr>
  </property>
  <property fmtid="{D5CDD505-2E9C-101B-9397-08002B2CF9AE}" pid="3" name="KSOProductBuildVer">
    <vt:lpwstr>2052-12.1.0.26895</vt:lpwstr>
  </property>
  <property fmtid="{D5CDD505-2E9C-101B-9397-08002B2CF9AE}" pid="4" name="ICV">
    <vt:lpwstr>8242D2F908994F8E8ED6F5C922A885E9_12</vt:lpwstr>
  </property>
</Properties>
</file>